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D202E">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14:paraId="2B3C424D">
      <w:pPr>
        <w:pStyle w:val="8"/>
        <w:rPr>
          <w:rFonts w:hint="eastAsia"/>
          <w:lang w:val="en-US" w:eastAsia="zh-CN"/>
        </w:rPr>
      </w:pPr>
    </w:p>
    <w:p w14:paraId="73E2CF21">
      <w:pPr>
        <w:rPr>
          <w:rFonts w:hint="eastAsia"/>
          <w:lang w:val="en-US" w:eastAsia="zh-CN"/>
        </w:rPr>
      </w:pPr>
    </w:p>
    <w:p w14:paraId="11E10E50">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2025年度山东省人民政府决策咨询</w:t>
      </w:r>
    </w:p>
    <w:p w14:paraId="6224BE5E">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研究重点课题招标目录</w:t>
      </w:r>
    </w:p>
    <w:p w14:paraId="6F8712F8">
      <w:pPr>
        <w:pStyle w:val="8"/>
        <w:rPr>
          <w:rFonts w:hint="eastAsia"/>
        </w:rPr>
      </w:pPr>
    </w:p>
    <w:p w14:paraId="620DE3A2">
      <w:pPr>
        <w:pStyle w:val="8"/>
        <w:keepNext w:val="0"/>
        <w:keepLines w:val="0"/>
        <w:pageBreakBefore w:val="0"/>
        <w:widowControl w:val="0"/>
        <w:kinsoku/>
        <w:wordWrap/>
        <w:overflowPunct/>
        <w:topLinePunct w:val="0"/>
        <w:autoSpaceDE/>
        <w:autoSpaceDN/>
        <w:bidi w:val="0"/>
        <w:adjustRightInd/>
        <w:snapToGrid/>
        <w:spacing w:before="0" w:line="620" w:lineRule="exact"/>
        <w:ind w:left="0" w:leftChars="0" w:right="0" w:rightChars="0" w:firstLine="720" w:firstLineChars="200"/>
        <w:jc w:val="left"/>
        <w:textAlignment w:val="baseline"/>
        <w:outlineLvl w:val="9"/>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（一）山东纵深推进新兴产业跨越提升研究</w:t>
      </w:r>
    </w:p>
    <w:p w14:paraId="77FC50E4">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620" w:lineRule="exact"/>
        <w:ind w:right="0" w:rightChars="0" w:firstLine="720" w:firstLineChars="200"/>
        <w:jc w:val="both"/>
        <w:textAlignment w:val="auto"/>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纵深推进新兴产业跨越提升工程是发展新质生产力、构建现代化产业体系的重要</w:t>
      </w:r>
      <w:r>
        <w:rPr>
          <w:rFonts w:hint="eastAsia" w:ascii="仿宋_GB2312" w:hAnsi="仿宋_GB2312" w:eastAsia="仿宋_GB2312" w:cs="仿宋_GB2312"/>
          <w:kern w:val="2"/>
          <w:sz w:val="36"/>
          <w:szCs w:val="36"/>
          <w:lang w:val="en-US" w:eastAsia="zh-CN" w:bidi="ar-SA"/>
        </w:rPr>
        <w:t>抓手</w:t>
      </w:r>
      <w:r>
        <w:rPr>
          <w:rFonts w:hint="default" w:ascii="仿宋_GB2312" w:hAnsi="仿宋_GB2312" w:eastAsia="仿宋_GB2312" w:cs="仿宋_GB2312"/>
          <w:kern w:val="2"/>
          <w:sz w:val="36"/>
          <w:szCs w:val="36"/>
          <w:lang w:val="en-US" w:eastAsia="zh-CN" w:bidi="ar-SA"/>
        </w:rPr>
        <w:t>。目前，山东推</w:t>
      </w:r>
      <w:r>
        <w:rPr>
          <w:rFonts w:hint="eastAsia" w:ascii="仿宋_GB2312" w:hAnsi="仿宋_GB2312" w:eastAsia="仿宋_GB2312" w:cs="仿宋_GB2312"/>
          <w:kern w:val="2"/>
          <w:sz w:val="36"/>
          <w:szCs w:val="36"/>
          <w:lang w:val="en-US" w:eastAsia="zh-CN" w:bidi="ar-SA"/>
        </w:rPr>
        <w:t>进</w:t>
      </w:r>
      <w:r>
        <w:rPr>
          <w:rFonts w:hint="default" w:ascii="仿宋_GB2312" w:hAnsi="仿宋_GB2312" w:eastAsia="仿宋_GB2312" w:cs="仿宋_GB2312"/>
          <w:kern w:val="2"/>
          <w:sz w:val="36"/>
          <w:szCs w:val="36"/>
          <w:lang w:val="en-US" w:eastAsia="zh-CN" w:bidi="ar-SA"/>
        </w:rPr>
        <w:t>新兴产业跨越提升正迎来难得的机遇，同时也面临诸多挑战。本课题旨在聚焦以科技创新引领新兴产业集群化、智能化、绿色化发展，深入分析我省推</w:t>
      </w:r>
      <w:r>
        <w:rPr>
          <w:rFonts w:hint="eastAsia" w:ascii="仿宋_GB2312" w:hAnsi="仿宋_GB2312" w:eastAsia="仿宋_GB2312" w:cs="仿宋_GB2312"/>
          <w:kern w:val="2"/>
          <w:sz w:val="36"/>
          <w:szCs w:val="36"/>
          <w:lang w:val="en-US" w:eastAsia="zh-CN" w:bidi="ar-SA"/>
        </w:rPr>
        <w:t>进</w:t>
      </w:r>
      <w:r>
        <w:rPr>
          <w:rFonts w:hint="default" w:ascii="仿宋_GB2312" w:hAnsi="仿宋_GB2312" w:eastAsia="仿宋_GB2312" w:cs="仿宋_GB2312"/>
          <w:kern w:val="2"/>
          <w:sz w:val="36"/>
          <w:szCs w:val="36"/>
          <w:lang w:val="en-US" w:eastAsia="zh-CN" w:bidi="ar-SA"/>
        </w:rPr>
        <w:t>新兴产业跨越提升面临的政策环境、产业基础和难点制约；研究实现跨越提升的总体思路和主要着力点，并提出具体可行的政策举措。</w:t>
      </w:r>
    </w:p>
    <w:p w14:paraId="3C6B5FFE">
      <w:pPr>
        <w:pStyle w:val="8"/>
        <w:keepNext w:val="0"/>
        <w:keepLines w:val="0"/>
        <w:pageBreakBefore w:val="0"/>
        <w:widowControl w:val="0"/>
        <w:kinsoku/>
        <w:wordWrap/>
        <w:overflowPunct/>
        <w:topLinePunct w:val="0"/>
        <w:autoSpaceDE/>
        <w:autoSpaceDN/>
        <w:bidi w:val="0"/>
        <w:adjustRightInd/>
        <w:snapToGrid/>
        <w:spacing w:before="0" w:line="620" w:lineRule="exact"/>
        <w:ind w:left="0" w:leftChars="0" w:right="0" w:rightChars="0" w:firstLine="720" w:firstLineChars="200"/>
        <w:jc w:val="left"/>
        <w:textAlignment w:val="baseline"/>
        <w:outlineLvl w:val="9"/>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（二）山东深化教育科技人才一体改革发展研究</w:t>
      </w:r>
    </w:p>
    <w:p w14:paraId="548850B5">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620" w:lineRule="exact"/>
        <w:ind w:right="0" w:rightChars="0" w:firstLine="720" w:firstLineChars="200"/>
        <w:jc w:val="both"/>
        <w:textAlignment w:val="auto"/>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党的二十届三中全会明确提出，统筹推进教育科技人才体制机制一体改革。进入新发展阶段，教育科技人才对国家和地方发展的基础性、战略性支撑作用愈加显著。本研究旨在立足山东省情，进一步明确教育科技人才一体</w:t>
      </w:r>
      <w:r>
        <w:rPr>
          <w:rFonts w:hint="eastAsia" w:ascii="仿宋_GB2312" w:hAnsi="仿宋_GB2312" w:eastAsia="仿宋_GB2312" w:cs="仿宋_GB2312"/>
          <w:kern w:val="2"/>
          <w:sz w:val="36"/>
          <w:szCs w:val="36"/>
          <w:lang w:val="en-US" w:eastAsia="zh-CN" w:bidi="ar-SA"/>
        </w:rPr>
        <w:t>改革</w:t>
      </w:r>
      <w:r>
        <w:rPr>
          <w:rFonts w:hint="default" w:ascii="仿宋_GB2312" w:hAnsi="仿宋_GB2312" w:eastAsia="仿宋_GB2312" w:cs="仿宋_GB2312"/>
          <w:kern w:val="2"/>
          <w:sz w:val="36"/>
          <w:szCs w:val="36"/>
          <w:lang w:val="en-US" w:eastAsia="zh-CN" w:bidi="ar-SA"/>
        </w:rPr>
        <w:t>发展的核心内涵与战略定位，在充分对比国内外发展</w:t>
      </w:r>
      <w:r>
        <w:rPr>
          <w:rFonts w:hint="eastAsia" w:ascii="仿宋_GB2312" w:hAnsi="仿宋_GB2312" w:eastAsia="仿宋_GB2312" w:cs="仿宋_GB2312"/>
          <w:kern w:val="2"/>
          <w:sz w:val="36"/>
          <w:szCs w:val="36"/>
          <w:lang w:val="en-US" w:eastAsia="zh-CN" w:bidi="ar-SA"/>
        </w:rPr>
        <w:t>情况</w:t>
      </w:r>
      <w:r>
        <w:rPr>
          <w:rFonts w:hint="default" w:ascii="仿宋_GB2312" w:hAnsi="仿宋_GB2312" w:eastAsia="仿宋_GB2312" w:cs="仿宋_GB2312"/>
          <w:kern w:val="2"/>
          <w:sz w:val="36"/>
          <w:szCs w:val="36"/>
          <w:lang w:val="en-US" w:eastAsia="zh-CN" w:bidi="ar-SA"/>
        </w:rPr>
        <w:t>基础上，分析山东深化教育科技人才一体</w:t>
      </w:r>
      <w:r>
        <w:rPr>
          <w:rFonts w:hint="eastAsia" w:ascii="仿宋_GB2312" w:hAnsi="仿宋_GB2312" w:eastAsia="仿宋_GB2312" w:cs="仿宋_GB2312"/>
          <w:kern w:val="2"/>
          <w:sz w:val="36"/>
          <w:szCs w:val="36"/>
          <w:lang w:val="en-US" w:eastAsia="zh-CN" w:bidi="ar-SA"/>
        </w:rPr>
        <w:t>改革</w:t>
      </w:r>
      <w:r>
        <w:rPr>
          <w:rFonts w:hint="default" w:ascii="仿宋_GB2312" w:hAnsi="仿宋_GB2312" w:eastAsia="仿宋_GB2312" w:cs="仿宋_GB2312"/>
          <w:kern w:val="2"/>
          <w:sz w:val="36"/>
          <w:szCs w:val="36"/>
          <w:lang w:val="en-US" w:eastAsia="zh-CN" w:bidi="ar-SA"/>
        </w:rPr>
        <w:t>发展存在的问题与挑战、堵点与制约，研究推进路径，提出具有可操作性的政策建议。</w:t>
      </w:r>
    </w:p>
    <w:p w14:paraId="63663AD1">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（三）山东培育新型消费业态、增强消费新动能研究</w:t>
      </w:r>
    </w:p>
    <w:p w14:paraId="1B8BC650">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right="0" w:rightChars="0" w:firstLine="720" w:firstLineChars="200"/>
        <w:jc w:val="both"/>
        <w:textAlignment w:val="auto"/>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2025年</w:t>
      </w:r>
      <w:r>
        <w:rPr>
          <w:rFonts w:hint="eastAsia" w:ascii="仿宋_GB2312" w:hAnsi="仿宋_GB2312" w:eastAsia="仿宋_GB2312" w:cs="仿宋_GB2312"/>
          <w:kern w:val="2"/>
          <w:sz w:val="36"/>
          <w:szCs w:val="36"/>
          <w:lang w:val="en-US" w:eastAsia="zh-CN" w:bidi="ar-SA"/>
        </w:rPr>
        <w:t>国务院</w:t>
      </w:r>
      <w:r>
        <w:rPr>
          <w:rFonts w:hint="default" w:ascii="仿宋_GB2312" w:hAnsi="仿宋_GB2312" w:eastAsia="仿宋_GB2312" w:cs="仿宋_GB2312"/>
          <w:kern w:val="2"/>
          <w:sz w:val="36"/>
          <w:szCs w:val="36"/>
          <w:lang w:val="en-US" w:eastAsia="zh-CN" w:bidi="ar-SA"/>
        </w:rPr>
        <w:t>政府工作报告提出，加快数字、绿色、智能等新型消费发展。全省提振消费工作大会</w:t>
      </w:r>
      <w:r>
        <w:rPr>
          <w:rFonts w:hint="eastAsia" w:ascii="仿宋_GB2312" w:hAnsi="仿宋_GB2312" w:eastAsia="仿宋_GB2312" w:cs="仿宋_GB2312"/>
          <w:kern w:val="2"/>
          <w:sz w:val="36"/>
          <w:szCs w:val="36"/>
          <w:lang w:val="en-US" w:eastAsia="zh-CN" w:bidi="ar-SA"/>
        </w:rPr>
        <w:t>明确提出，要聚力</w:t>
      </w:r>
      <w:r>
        <w:rPr>
          <w:rFonts w:hint="default" w:ascii="仿宋_GB2312" w:hAnsi="仿宋_GB2312" w:eastAsia="仿宋_GB2312" w:cs="仿宋_GB2312"/>
          <w:kern w:val="2"/>
          <w:sz w:val="36"/>
          <w:szCs w:val="36"/>
          <w:lang w:val="en-US" w:eastAsia="zh-CN" w:bidi="ar-SA"/>
        </w:rPr>
        <w:t>实施新型消费跃升工程，点燃经济增长新引擎。本课题旨在立足我省新型消费发展情况与</w:t>
      </w:r>
      <w:r>
        <w:rPr>
          <w:rFonts w:hint="eastAsia" w:ascii="仿宋_GB2312" w:hAnsi="仿宋_GB2312" w:eastAsia="仿宋_GB2312" w:cs="仿宋_GB2312"/>
          <w:kern w:val="2"/>
          <w:sz w:val="36"/>
          <w:szCs w:val="36"/>
          <w:lang w:val="en-US" w:eastAsia="zh-CN" w:bidi="ar-SA"/>
        </w:rPr>
        <w:t>存在的</w:t>
      </w:r>
      <w:r>
        <w:rPr>
          <w:rFonts w:hint="default" w:ascii="仿宋_GB2312" w:hAnsi="仿宋_GB2312" w:eastAsia="仿宋_GB2312" w:cs="仿宋_GB2312"/>
          <w:kern w:val="2"/>
          <w:sz w:val="36"/>
          <w:szCs w:val="36"/>
          <w:lang w:val="en-US" w:eastAsia="zh-CN" w:bidi="ar-SA"/>
        </w:rPr>
        <w:t>问题，探究我省在技术变革、产业升级、消费环境营造、新型消费场景打造等方面的发展思路，研究提出加速我省新型消费发展的推进路径、政策措施等。</w:t>
      </w:r>
    </w:p>
    <w:p w14:paraId="0A8AB412">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（四）山东培育壮大湾区经济研究</w:t>
      </w:r>
    </w:p>
    <w:p w14:paraId="58ACDD50">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right="0" w:rightChars="0" w:firstLine="720" w:firstLineChars="200"/>
        <w:jc w:val="both"/>
        <w:textAlignment w:val="auto"/>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中央经济工作会议强调，大力发展海洋经济和湾区经济。山东作为经济大省、海洋大省，海洋资源丰度指数居全国前列，应在湾区经济发展方面“走在前、挑大梁”。本课题旨在紧密结合山东省地理区位、港口分布、产业结构布局、海洋资源禀赋等特点，充分借鉴国内外湾区港口群、产业链、城市群融合发展的经验，深入分析我省培育壮大湾区经济的难点、堵点，研究提出培育壮大湾区经济的总体思路、具体推进路径及有关政策建议。</w:t>
      </w:r>
    </w:p>
    <w:p w14:paraId="5859D08E">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（五）山东培育绿色贸易、数字贸易等新增长点研究</w:t>
      </w:r>
    </w:p>
    <w:p w14:paraId="1E6E9018">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right="0" w:rightChars="0" w:firstLine="720" w:firstLineChars="200"/>
        <w:jc w:val="both"/>
        <w:textAlignment w:val="auto"/>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2025年</w:t>
      </w:r>
      <w:r>
        <w:rPr>
          <w:rFonts w:hint="eastAsia" w:ascii="仿宋_GB2312" w:hAnsi="仿宋_GB2312" w:eastAsia="仿宋_GB2312" w:cs="仿宋_GB2312"/>
          <w:kern w:val="2"/>
          <w:sz w:val="36"/>
          <w:szCs w:val="36"/>
          <w:lang w:val="en-US" w:eastAsia="zh-CN" w:bidi="ar-SA"/>
        </w:rPr>
        <w:t>国务院</w:t>
      </w:r>
      <w:r>
        <w:rPr>
          <w:rFonts w:hint="default" w:ascii="仿宋_GB2312" w:hAnsi="仿宋_GB2312" w:eastAsia="仿宋_GB2312" w:cs="仿宋_GB2312"/>
          <w:kern w:val="2"/>
          <w:sz w:val="36"/>
          <w:szCs w:val="36"/>
          <w:lang w:val="en-US" w:eastAsia="zh-CN" w:bidi="ar-SA"/>
        </w:rPr>
        <w:t>政府工作报告提出，要培育绿色贸易、数字贸易等新增长点。近年来山东绿色贸易、数字贸易快速发展，形成了良好的发展基础，但也面临出口产品竞争加剧、传统市场增长乏力等多重障碍</w:t>
      </w:r>
      <w:r>
        <w:rPr>
          <w:rFonts w:hint="eastAsia" w:ascii="仿宋_GB2312" w:hAnsi="仿宋_GB2312" w:eastAsia="仿宋_GB2312" w:cs="仿宋_GB2312"/>
          <w:kern w:val="2"/>
          <w:sz w:val="36"/>
          <w:szCs w:val="36"/>
          <w:lang w:val="en-US" w:eastAsia="zh-CN" w:bidi="ar-SA"/>
        </w:rPr>
        <w:t>。</w:t>
      </w:r>
      <w:r>
        <w:rPr>
          <w:rFonts w:hint="default" w:ascii="仿宋_GB2312" w:hAnsi="仿宋_GB2312" w:eastAsia="仿宋_GB2312" w:cs="仿宋_GB2312"/>
          <w:kern w:val="2"/>
          <w:sz w:val="36"/>
          <w:szCs w:val="36"/>
          <w:lang w:val="en-US" w:eastAsia="zh-CN" w:bidi="ar-SA"/>
        </w:rPr>
        <w:t>本课题旨在系统梳理问题瓶颈的基础上，深入研判山东培育绿色贸易、数字贸易的重要着力点和关键突破口，进一步探索实现路径和政策举措，提出具体方案，形成以技术、标准、品牌、质量和服务为核心的外贸竞争新优势。</w:t>
      </w:r>
    </w:p>
    <w:p w14:paraId="132BCD50">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（六）山东推进文化产业赋能乡村振兴研究</w:t>
      </w:r>
    </w:p>
    <w:p w14:paraId="5E837AB2">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文化产业赋能乡村振兴是高质量打造乡村振兴齐鲁样板的重要内容。</w:t>
      </w:r>
      <w:r>
        <w:rPr>
          <w:rFonts w:hint="default" w:ascii="仿宋_GB2312" w:hAnsi="仿宋_GB2312" w:eastAsia="仿宋_GB2312" w:cs="仿宋_GB2312"/>
          <w:kern w:val="2"/>
          <w:sz w:val="36"/>
          <w:szCs w:val="36"/>
          <w:lang w:val="en-US" w:eastAsia="zh-CN" w:bidi="ar-SA"/>
        </w:rPr>
        <w:t>2025年中央一号文件对</w:t>
      </w:r>
      <w:r>
        <w:rPr>
          <w:rFonts w:hint="eastAsia" w:ascii="仿宋_GB2312" w:hAnsi="仿宋_GB2312" w:eastAsia="仿宋_GB2312" w:cs="仿宋_GB2312"/>
          <w:kern w:val="2"/>
          <w:sz w:val="36"/>
          <w:szCs w:val="36"/>
          <w:lang w:val="en-US" w:eastAsia="zh-CN" w:bidi="ar-SA"/>
        </w:rPr>
        <w:t>推进乡村文化和旅游深度融合、</w:t>
      </w:r>
      <w:r>
        <w:rPr>
          <w:rFonts w:hint="default" w:ascii="仿宋_GB2312" w:hAnsi="仿宋_GB2312" w:eastAsia="仿宋_GB2312" w:cs="仿宋_GB2312"/>
          <w:kern w:val="2"/>
          <w:sz w:val="36"/>
          <w:szCs w:val="36"/>
          <w:lang w:val="en-US" w:eastAsia="zh-CN" w:bidi="ar-SA"/>
        </w:rPr>
        <w:t>开展文化产业赋能乡村振兴试点提出明确要求。本课题</w:t>
      </w:r>
      <w:r>
        <w:rPr>
          <w:rFonts w:hint="eastAsia" w:ascii="仿宋_GB2312" w:hAnsi="仿宋_GB2312" w:eastAsia="仿宋_GB2312" w:cs="仿宋_GB2312"/>
          <w:kern w:val="2"/>
          <w:sz w:val="36"/>
          <w:szCs w:val="36"/>
          <w:lang w:val="en-US" w:eastAsia="zh-CN" w:bidi="ar-SA"/>
        </w:rPr>
        <w:t>重点分析我省文化产业赋能乡村振兴的现状和难点制约，提出具体推进路径和有关政策建议，助力</w:t>
      </w:r>
      <w:r>
        <w:rPr>
          <w:rFonts w:hint="default" w:ascii="仿宋_GB2312" w:hAnsi="仿宋_GB2312" w:eastAsia="仿宋_GB2312" w:cs="仿宋_GB2312"/>
          <w:kern w:val="2"/>
          <w:sz w:val="36"/>
          <w:szCs w:val="36"/>
          <w:lang w:val="en-US" w:eastAsia="zh-CN" w:bidi="ar-SA"/>
        </w:rPr>
        <w:t>推动乡村产业兴旺、文化振兴。</w:t>
      </w:r>
    </w:p>
    <w:p w14:paraId="6AA6B97C">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（七）山东激发民营企业内生动力、推动民营经济做大做强研究</w:t>
      </w:r>
    </w:p>
    <w:p w14:paraId="47D5426E">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民营经济是推进中国式现代化的生力军，是高质量发展的重要基础。坚持和落实“两个毫不动摇”</w:t>
      </w:r>
      <w:r>
        <w:rPr>
          <w:rFonts w:hint="eastAsia" w:ascii="仿宋_GB2312" w:hAnsi="仿宋_GB2312" w:eastAsia="仿宋_GB2312" w:cs="仿宋_GB2312"/>
          <w:kern w:val="2"/>
          <w:sz w:val="36"/>
          <w:szCs w:val="36"/>
          <w:lang w:val="en-US" w:eastAsia="zh-CN" w:bidi="ar-SA"/>
        </w:rPr>
        <w:t>，</w:t>
      </w:r>
      <w:r>
        <w:rPr>
          <w:rFonts w:hint="default" w:ascii="仿宋_GB2312" w:hAnsi="仿宋_GB2312" w:eastAsia="仿宋_GB2312" w:cs="仿宋_GB2312"/>
          <w:kern w:val="2"/>
          <w:sz w:val="36"/>
          <w:szCs w:val="36"/>
          <w:lang w:val="en-US" w:eastAsia="zh-CN" w:bidi="ar-SA"/>
        </w:rPr>
        <w:t>促进民营经济健康发展、高质量发展是我们党</w:t>
      </w:r>
      <w:r>
        <w:rPr>
          <w:rFonts w:hint="eastAsia" w:ascii="仿宋_GB2312" w:hAnsi="仿宋_GB2312" w:eastAsia="仿宋_GB2312" w:cs="仿宋_GB2312"/>
          <w:kern w:val="2"/>
          <w:sz w:val="36"/>
          <w:szCs w:val="36"/>
          <w:lang w:val="en-US" w:eastAsia="zh-CN" w:bidi="ar-SA"/>
        </w:rPr>
        <w:t>和国家</w:t>
      </w:r>
      <w:r>
        <w:rPr>
          <w:rFonts w:hint="default" w:ascii="仿宋_GB2312" w:hAnsi="仿宋_GB2312" w:eastAsia="仿宋_GB2312" w:cs="仿宋_GB2312"/>
          <w:kern w:val="2"/>
          <w:sz w:val="36"/>
          <w:szCs w:val="36"/>
          <w:lang w:val="en-US" w:eastAsia="zh-CN" w:bidi="ar-SA"/>
        </w:rPr>
        <w:t>的一贯方针。习近平总书记在民营企业座谈会上对当前</w:t>
      </w:r>
      <w:r>
        <w:rPr>
          <w:rFonts w:hint="eastAsia" w:ascii="仿宋_GB2312" w:hAnsi="仿宋_GB2312" w:eastAsia="仿宋_GB2312" w:cs="仿宋_GB2312"/>
          <w:kern w:val="2"/>
          <w:sz w:val="36"/>
          <w:szCs w:val="36"/>
          <w:lang w:val="en-US" w:eastAsia="zh-CN" w:bidi="ar-SA"/>
        </w:rPr>
        <w:t>和</w:t>
      </w:r>
      <w:r>
        <w:rPr>
          <w:rFonts w:hint="default" w:ascii="仿宋_GB2312" w:hAnsi="仿宋_GB2312" w:eastAsia="仿宋_GB2312" w:cs="仿宋_GB2312"/>
          <w:kern w:val="2"/>
          <w:sz w:val="36"/>
          <w:szCs w:val="36"/>
          <w:lang w:val="en-US" w:eastAsia="zh-CN" w:bidi="ar-SA"/>
        </w:rPr>
        <w:t>今后一个时期促进民营经济健康发展、高质量发展作出全面部署，为民营经济发展指明了前进方向，注入了强大信心动力。本课题旨在立足山东省情，围绕制约民营经济发展的问题难点，提出对策建议，持续激发民营企业内生动力和创新活力，不断为民营经济营造更好发展环境。</w:t>
      </w:r>
    </w:p>
    <w:p w14:paraId="7017546D">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（八）山东深入推进制造业“增品种、提品质、创品牌”研究</w:t>
      </w:r>
    </w:p>
    <w:p w14:paraId="173B639B">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山东大力实施工业经济“头号工程”，提出推动制造业高端化、智能化、绿色化、集群化发展。本研究全面分析全省制造业在品种、品质和品牌等方面的发展特点、问题</w:t>
      </w:r>
      <w:r>
        <w:rPr>
          <w:rFonts w:hint="eastAsia" w:ascii="仿宋_GB2312" w:hAnsi="仿宋_GB2312" w:eastAsia="仿宋_GB2312" w:cs="仿宋_GB2312"/>
          <w:kern w:val="2"/>
          <w:sz w:val="36"/>
          <w:szCs w:val="36"/>
          <w:lang w:val="en-US" w:eastAsia="zh-CN" w:bidi="ar-SA"/>
        </w:rPr>
        <w:t>难点</w:t>
      </w:r>
      <w:r>
        <w:rPr>
          <w:rFonts w:hint="default" w:ascii="仿宋_GB2312" w:hAnsi="仿宋_GB2312" w:eastAsia="仿宋_GB2312" w:cs="仿宋_GB2312"/>
          <w:kern w:val="2"/>
          <w:sz w:val="36"/>
          <w:szCs w:val="36"/>
          <w:lang w:val="en-US" w:eastAsia="zh-CN" w:bidi="ar-SA"/>
        </w:rPr>
        <w:t>，充分借鉴</w:t>
      </w:r>
      <w:r>
        <w:rPr>
          <w:rFonts w:hint="eastAsia" w:ascii="仿宋_GB2312" w:hAnsi="仿宋_GB2312" w:eastAsia="仿宋_GB2312" w:cs="仿宋_GB2312"/>
          <w:kern w:val="2"/>
          <w:sz w:val="36"/>
          <w:szCs w:val="36"/>
          <w:lang w:val="en-US" w:eastAsia="zh-CN" w:bidi="ar-SA"/>
        </w:rPr>
        <w:t>国内外</w:t>
      </w:r>
      <w:r>
        <w:rPr>
          <w:rFonts w:hint="default" w:ascii="仿宋_GB2312" w:hAnsi="仿宋_GB2312" w:eastAsia="仿宋_GB2312" w:cs="仿宋_GB2312"/>
          <w:kern w:val="2"/>
          <w:sz w:val="36"/>
          <w:szCs w:val="36"/>
          <w:lang w:val="en-US" w:eastAsia="zh-CN" w:bidi="ar-SA"/>
        </w:rPr>
        <w:t>发展经验及典型做法，研究提出我省增品种、提品质、创品牌的重点领域、发展路径及</w:t>
      </w:r>
      <w:r>
        <w:rPr>
          <w:rFonts w:hint="eastAsia" w:ascii="仿宋_GB2312" w:hAnsi="仿宋_GB2312" w:eastAsia="仿宋_GB2312" w:cs="仿宋_GB2312"/>
          <w:kern w:val="2"/>
          <w:sz w:val="36"/>
          <w:szCs w:val="36"/>
          <w:lang w:val="en-US" w:eastAsia="zh-CN" w:bidi="ar-SA"/>
        </w:rPr>
        <w:t>务实</w:t>
      </w:r>
      <w:r>
        <w:rPr>
          <w:rFonts w:hint="default" w:ascii="仿宋_GB2312" w:hAnsi="仿宋_GB2312" w:eastAsia="仿宋_GB2312" w:cs="仿宋_GB2312"/>
          <w:kern w:val="2"/>
          <w:sz w:val="36"/>
          <w:szCs w:val="36"/>
          <w:lang w:val="en-US" w:eastAsia="zh-CN" w:bidi="ar-SA"/>
        </w:rPr>
        <w:t>举措，</w:t>
      </w:r>
      <w:r>
        <w:rPr>
          <w:rFonts w:hint="eastAsia" w:ascii="仿宋_GB2312" w:hAnsi="仿宋_GB2312" w:eastAsia="仿宋_GB2312" w:cs="仿宋_GB2312"/>
          <w:kern w:val="2"/>
          <w:sz w:val="36"/>
          <w:szCs w:val="36"/>
          <w:lang w:val="en-US" w:eastAsia="zh-CN" w:bidi="ar-SA"/>
        </w:rPr>
        <w:t>促进</w:t>
      </w:r>
      <w:r>
        <w:rPr>
          <w:rFonts w:hint="default" w:ascii="仿宋_GB2312" w:hAnsi="仿宋_GB2312" w:eastAsia="仿宋_GB2312" w:cs="仿宋_GB2312"/>
          <w:kern w:val="2"/>
          <w:sz w:val="36"/>
          <w:szCs w:val="36"/>
          <w:lang w:val="en-US" w:eastAsia="zh-CN" w:bidi="ar-SA"/>
        </w:rPr>
        <w:t>全省制造业高质量发展。</w:t>
      </w:r>
    </w:p>
    <w:p w14:paraId="1C1EF203">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（九）山东强化原创性前沿性颠覆性技术创新研究</w:t>
      </w:r>
    </w:p>
    <w:p w14:paraId="508ABC12">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习近平总书记在中央政治局第十一次集体学习时强调，必须加强科技创新特别是原创性、颠覆性科技创新，加快实现高水平科技自立自强。山东创新资源丰富，具备开辟新领域新赛道的能力。本课题旨在深入分析我省在原创性前沿性颠覆性技术创新方面存在的短板弱项，从强化顶层设计、高能级平台建设、高水平队伍培育、创新要素保障等方面，研究如何加强技术创新，培塑发展新动能新优势，提出具体推进路径和有关政策建议。</w:t>
      </w:r>
    </w:p>
    <w:p w14:paraId="7FA930A5">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黑体" w:hAnsi="黑体" w:eastAsia="黑体" w:cs="黑体"/>
          <w:kern w:val="2"/>
          <w:sz w:val="36"/>
          <w:szCs w:val="36"/>
          <w:lang w:val="en-US" w:eastAsia="zh-CN" w:bidi="ar-SA"/>
        </w:rPr>
      </w:pPr>
      <w:r>
        <w:rPr>
          <w:rFonts w:hint="default" w:ascii="黑体" w:hAnsi="黑体" w:eastAsia="黑体" w:cs="黑体"/>
          <w:kern w:val="2"/>
          <w:sz w:val="36"/>
          <w:szCs w:val="36"/>
          <w:lang w:val="en-US" w:eastAsia="zh-CN" w:bidi="ar-SA"/>
        </w:rPr>
        <w:t>（十）山东推动农村养老服务高质量发展研究</w:t>
      </w:r>
    </w:p>
    <w:p w14:paraId="7521C7A6">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620" w:lineRule="exact"/>
        <w:ind w:left="0" w:leftChars="0" w:right="0" w:rightChars="0" w:firstLine="720" w:firstLineChars="200"/>
        <w:jc w:val="both"/>
        <w:textAlignment w:val="auto"/>
        <w:outlineLvl w:val="9"/>
        <w:rPr>
          <w:rFonts w:hint="default" w:ascii="仿宋_GB2312" w:hAnsi="仿宋_GB2312" w:eastAsia="仿宋_GB2312" w:cs="仿宋_GB2312"/>
          <w:kern w:val="2"/>
          <w:sz w:val="36"/>
          <w:szCs w:val="36"/>
          <w:lang w:val="en-US" w:eastAsia="zh-CN" w:bidi="ar-SA"/>
        </w:rPr>
      </w:pPr>
      <w:r>
        <w:rPr>
          <w:rFonts w:hint="default" w:ascii="仿宋_GB2312" w:hAnsi="仿宋_GB2312" w:eastAsia="仿宋_GB2312" w:cs="仿宋_GB2312"/>
          <w:kern w:val="2"/>
          <w:sz w:val="36"/>
          <w:szCs w:val="36"/>
          <w:lang w:val="en-US" w:eastAsia="zh-CN" w:bidi="ar-SA"/>
        </w:rPr>
        <w:t>党的二十届三中全会提出，加快补齐农村养老服务短板。2025年</w:t>
      </w:r>
      <w:r>
        <w:rPr>
          <w:rFonts w:hint="eastAsia" w:ascii="仿宋_GB2312" w:hAnsi="仿宋_GB2312" w:eastAsia="仿宋_GB2312" w:cs="仿宋_GB2312"/>
          <w:kern w:val="2"/>
          <w:sz w:val="36"/>
          <w:szCs w:val="36"/>
          <w:lang w:val="en-US" w:eastAsia="zh-CN" w:bidi="ar-SA"/>
        </w:rPr>
        <w:t>国务院</w:t>
      </w:r>
      <w:r>
        <w:rPr>
          <w:rFonts w:hint="default" w:ascii="仿宋_GB2312" w:hAnsi="仿宋_GB2312" w:eastAsia="仿宋_GB2312" w:cs="仿宋_GB2312"/>
          <w:kern w:val="2"/>
          <w:sz w:val="36"/>
          <w:szCs w:val="36"/>
          <w:lang w:val="en-US" w:eastAsia="zh-CN" w:bidi="ar-SA"/>
        </w:rPr>
        <w:t>政府工作报告提出，扩大普惠养老服务，推动农村养老服务发展。2023年</w:t>
      </w:r>
      <w:r>
        <w:rPr>
          <w:rFonts w:hint="eastAsia" w:ascii="仿宋_GB2312" w:hAnsi="仿宋_GB2312" w:eastAsia="仿宋_GB2312" w:cs="仿宋_GB2312"/>
          <w:kern w:val="2"/>
          <w:sz w:val="36"/>
          <w:szCs w:val="36"/>
          <w:lang w:val="en-US" w:eastAsia="zh-CN" w:bidi="ar-SA"/>
        </w:rPr>
        <w:t>我</w:t>
      </w:r>
      <w:r>
        <w:rPr>
          <w:rFonts w:hint="default" w:ascii="仿宋_GB2312" w:hAnsi="仿宋_GB2312" w:eastAsia="仿宋_GB2312" w:cs="仿宋_GB2312"/>
          <w:kern w:val="2"/>
          <w:sz w:val="36"/>
          <w:szCs w:val="36"/>
          <w:lang w:val="en-US" w:eastAsia="zh-CN" w:bidi="ar-SA"/>
        </w:rPr>
        <w:t>省出台《山东省养老服务高质量发展三年行动计划</w:t>
      </w:r>
      <w:r>
        <w:rPr>
          <w:rFonts w:hint="eastAsia" w:ascii="仿宋_GB2312" w:hAnsi="仿宋_GB2312" w:eastAsia="仿宋_GB2312" w:cs="仿宋_GB2312"/>
          <w:kern w:val="2"/>
          <w:sz w:val="36"/>
          <w:szCs w:val="36"/>
          <w:lang w:val="en-US" w:eastAsia="zh-CN" w:bidi="ar-SA"/>
        </w:rPr>
        <w:t>（</w:t>
      </w:r>
      <w:r>
        <w:rPr>
          <w:rFonts w:hint="default" w:ascii="仿宋_GB2312" w:hAnsi="仿宋_GB2312" w:eastAsia="仿宋_GB2312" w:cs="仿宋_GB2312"/>
          <w:kern w:val="2"/>
          <w:sz w:val="36"/>
          <w:szCs w:val="36"/>
          <w:lang w:val="en-US" w:eastAsia="zh-CN" w:bidi="ar-SA"/>
        </w:rPr>
        <w:t>2024-2026</w:t>
      </w:r>
      <w:r>
        <w:rPr>
          <w:rFonts w:hint="eastAsia" w:ascii="仿宋_GB2312" w:hAnsi="仿宋_GB2312" w:eastAsia="仿宋_GB2312" w:cs="仿宋_GB2312"/>
          <w:kern w:val="2"/>
          <w:sz w:val="36"/>
          <w:szCs w:val="36"/>
          <w:lang w:val="en-US" w:eastAsia="zh-CN" w:bidi="ar-SA"/>
        </w:rPr>
        <w:t>）</w:t>
      </w:r>
      <w:r>
        <w:rPr>
          <w:rFonts w:hint="default" w:ascii="仿宋_GB2312" w:hAnsi="仿宋_GB2312" w:eastAsia="仿宋_GB2312" w:cs="仿宋_GB2312"/>
          <w:kern w:val="2"/>
          <w:sz w:val="36"/>
          <w:szCs w:val="36"/>
          <w:lang w:val="en-US" w:eastAsia="zh-CN" w:bidi="ar-SA"/>
        </w:rPr>
        <w:t>》，实施农村养老提档达标行动，提出构建县、乡镇、村、家庭四级养老服务网络的目标。本课题立足推动山东农村养老服务高质量发展，围绕制约农村养老服务的问题难点，提出对策建议，构建多层次农村养老服务网络，创新服务模式，</w:t>
      </w:r>
      <w:r>
        <w:rPr>
          <w:rFonts w:hint="eastAsia" w:ascii="仿宋_GB2312" w:hAnsi="仿宋_GB2312" w:eastAsia="仿宋_GB2312" w:cs="仿宋_GB2312"/>
          <w:kern w:val="2"/>
          <w:sz w:val="36"/>
          <w:szCs w:val="36"/>
          <w:lang w:val="en-US" w:eastAsia="zh-CN" w:bidi="ar-SA"/>
        </w:rPr>
        <w:t>促进</w:t>
      </w:r>
      <w:r>
        <w:rPr>
          <w:rFonts w:hint="default" w:ascii="仿宋_GB2312" w:hAnsi="仿宋_GB2312" w:eastAsia="仿宋_GB2312" w:cs="仿宋_GB2312"/>
          <w:kern w:val="2"/>
          <w:sz w:val="36"/>
          <w:szCs w:val="36"/>
          <w:lang w:val="en-US" w:eastAsia="zh-CN" w:bidi="ar-SA"/>
        </w:rPr>
        <w:t>农村养老服务从“保基本”向“高质量”转型。</w:t>
      </w:r>
      <w:bookmarkStart w:id="0" w:name="_GoBack"/>
      <w:bookmarkEnd w:id="0"/>
    </w:p>
    <w:p w14:paraId="3827693F">
      <w:pPr>
        <w:rPr>
          <w:rFonts w:hint="default" w:eastAsiaTheme="minorEastAsia"/>
          <w:lang w:val="en-US" w:eastAsia="zh-CN"/>
        </w:rPr>
      </w:pPr>
    </w:p>
    <w:p w14:paraId="565C7652">
      <w:pPr>
        <w:rPr>
          <w:rFonts w:hint="eastAsia" w:ascii="仿宋_GB2312" w:hAnsi="仿宋_GB2312" w:eastAsia="仿宋_GB2312" w:cs="仿宋_GB2312"/>
          <w:sz w:val="36"/>
          <w:szCs w:val="36"/>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9ACD7D-4FB8-432F-9F33-73DA15C549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9B96DA-6059-434E-9140-06CBCE3BFBD6}"/>
  </w:font>
  <w:font w:name="Calibri Light">
    <w:panose1 w:val="020F0302020204030204"/>
    <w:charset w:val="00"/>
    <w:family w:val="auto"/>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01BEF9CE-FF28-4D59-B1AF-8569CAF43E6F}"/>
  </w:font>
  <w:font w:name="仿宋_GB2312">
    <w:panose1 w:val="02010609030101010101"/>
    <w:charset w:val="86"/>
    <w:family w:val="auto"/>
    <w:pitch w:val="default"/>
    <w:sig w:usb0="00000001" w:usb1="080E0000" w:usb2="00000000" w:usb3="00000000" w:csb0="00040000" w:csb1="00000000"/>
    <w:embedRegular r:id="rId4" w:fontKey="{24516732-C3CF-45FC-BBD9-27AA9EE721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ADA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57E6E">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57E6E">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3D5B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3110"/>
    <w:rsid w:val="014D2402"/>
    <w:rsid w:val="015666B9"/>
    <w:rsid w:val="041F054D"/>
    <w:rsid w:val="0FD06741"/>
    <w:rsid w:val="15760654"/>
    <w:rsid w:val="165F5FD9"/>
    <w:rsid w:val="202A0C25"/>
    <w:rsid w:val="2DEE2BBA"/>
    <w:rsid w:val="4994527F"/>
    <w:rsid w:val="521045FE"/>
    <w:rsid w:val="56F43110"/>
    <w:rsid w:val="5B68005D"/>
    <w:rsid w:val="7564688B"/>
    <w:rsid w:val="77AA20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0"/>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宋体"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TOAHeading"/>
    <w:basedOn w:val="1"/>
    <w:next w:val="1"/>
    <w:qFormat/>
    <w:uiPriority w:val="0"/>
    <w:pPr>
      <w:spacing w:before="120"/>
      <w:textAlignment w:val="baseline"/>
    </w:pPr>
    <w:rPr>
      <w:rFonts w:ascii="Calibri Light" w:hAnsi="Calibri Light" w:eastAsia="宋体"/>
      <w:sz w:val="24"/>
      <w:szCs w:val="24"/>
    </w:rPr>
  </w:style>
  <w:style w:type="paragraph" w:customStyle="1" w:styleId="9">
    <w:name w:val="标题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2093</Words>
  <Characters>2119</Characters>
  <Lines>0</Lines>
  <Paragraphs>0</Paragraphs>
  <TotalTime>5</TotalTime>
  <ScaleCrop>false</ScaleCrop>
  <LinksUpToDate>false</LinksUpToDate>
  <CharactersWithSpaces>2119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2024-05-22T01:25:00Z</dcterms:created>
  <dc:creator>李诗君</dc:creator>
  <cp:lastModifiedBy>Administrator</cp:lastModifiedBy>
  <cp:lastPrinted>2025-04-29T07:47:53Z</cp:lastPrinted>
  <dcterms:modified xsi:type="dcterms:W3CDTF">2025-04-29T08:26:28Z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eyJoZGlkIjoiYjhlMGU4OGViY2ViN2ZhNDhlZWU2N2MzN2FhNmRiMzgiLCJ1c2VySWQiOiIxOTkwMTYzMzIifQ==</vt:lpwstr>
  </property>
  <property fmtid="{D5CDD505-2E9C-101B-9397-08002B2CF9AE}" pid="4" name="ICV">
    <vt:lpwstr>6F44743CAC164FA0BA00B9EB309AC2FD_12</vt:lpwstr>
  </property>
</Properties>
</file>