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DD168" w14:textId="7A2C3BC1" w:rsidR="006B746B" w:rsidRPr="00AD6ECB" w:rsidRDefault="00000000" w:rsidP="00ED2DDD">
      <w:pPr>
        <w:adjustRightInd w:val="0"/>
        <w:snapToGrid w:val="0"/>
        <w:spacing w:line="360" w:lineRule="auto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AD6ECB">
        <w:rPr>
          <w:rFonts w:ascii="Times New Roman" w:eastAsia="黑体" w:hAnsi="Times New Roman" w:cs="Times New Roman"/>
          <w:sz w:val="32"/>
          <w:szCs w:val="32"/>
        </w:rPr>
        <w:t>附件</w:t>
      </w:r>
    </w:p>
    <w:p w14:paraId="27303F88" w14:textId="2C80DAB9" w:rsidR="006B746B" w:rsidRDefault="00D6260F" w:rsidP="00ED2DDD">
      <w:pPr>
        <w:adjustRightInd w:val="0"/>
        <w:snapToGrid w:val="0"/>
        <w:spacing w:line="360" w:lineRule="auto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AD6ECB">
        <w:rPr>
          <w:rFonts w:ascii="Times New Roman" w:eastAsia="方正小标宋简体" w:hAnsi="Times New Roman" w:cs="Times New Roman"/>
          <w:sz w:val="36"/>
          <w:szCs w:val="36"/>
        </w:rPr>
        <w:t>高等教育改革发展研究</w:t>
      </w:r>
      <w:r w:rsidR="00ED2DDD" w:rsidRPr="00AD6ECB">
        <w:rPr>
          <w:rFonts w:ascii="Times New Roman" w:eastAsia="方正小标宋简体" w:hAnsi="Times New Roman" w:cs="Times New Roman"/>
          <w:sz w:val="36"/>
          <w:szCs w:val="36"/>
        </w:rPr>
        <w:t>专项</w:t>
      </w:r>
    </w:p>
    <w:p w14:paraId="588F7918" w14:textId="77777777" w:rsidR="00AD6ECB" w:rsidRPr="00AD6ECB" w:rsidRDefault="00AD6ECB" w:rsidP="00E83F9B">
      <w:pPr>
        <w:adjustRightInd w:val="0"/>
        <w:snapToGrid w:val="0"/>
        <w:spacing w:line="360" w:lineRule="auto"/>
        <w:jc w:val="center"/>
        <w:rPr>
          <w:rFonts w:ascii="Times New Roman" w:eastAsia="方正小标宋简体" w:hAnsi="Times New Roman" w:cs="Times New Roman" w:hint="eastAsia"/>
          <w:sz w:val="36"/>
          <w:szCs w:val="36"/>
        </w:rPr>
      </w:pPr>
    </w:p>
    <w:p w14:paraId="0B895612" w14:textId="7D3300E9" w:rsidR="006B746B" w:rsidRPr="00AD6ECB" w:rsidRDefault="00AD6ECB" w:rsidP="00E83F9B">
      <w:pPr>
        <w:adjustRightInd w:val="0"/>
        <w:snapToGrid w:val="0"/>
        <w:spacing w:line="360" w:lineRule="auto"/>
        <w:ind w:firstLineChars="200" w:firstLine="643"/>
        <w:rPr>
          <w:rFonts w:ascii="Times New Roman" w:eastAsia="仿宋" w:hAnsi="Times New Roman" w:cs="Times New Roman"/>
          <w:b/>
          <w:bCs/>
          <w:sz w:val="32"/>
          <w:szCs w:val="32"/>
        </w:rPr>
      </w:pPr>
      <w:r w:rsidRPr="00AD6ECB">
        <w:rPr>
          <w:rFonts w:ascii="Times New Roman" w:eastAsia="仿宋" w:hAnsi="Times New Roman" w:cs="Times New Roman"/>
          <w:b/>
          <w:bCs/>
          <w:sz w:val="32"/>
          <w:szCs w:val="32"/>
        </w:rPr>
        <w:t>1</w:t>
      </w:r>
      <w:r>
        <w:rPr>
          <w:rFonts w:ascii="Times New Roman" w:eastAsia="仿宋" w:hAnsi="Times New Roman" w:cs="Times New Roman" w:hint="eastAsia"/>
          <w:b/>
          <w:bCs/>
          <w:sz w:val="32"/>
          <w:szCs w:val="32"/>
        </w:rPr>
        <w:t>0</w:t>
      </w:r>
      <w:r w:rsidRPr="00AD6ECB">
        <w:rPr>
          <w:rFonts w:ascii="Times New Roman" w:eastAsia="仿宋" w:hAnsi="Times New Roman" w:cs="Times New Roman"/>
          <w:b/>
          <w:bCs/>
          <w:sz w:val="32"/>
          <w:szCs w:val="32"/>
        </w:rPr>
        <w:t>.</w:t>
      </w:r>
      <w:r w:rsidRPr="00AD6ECB">
        <w:rPr>
          <w:rFonts w:ascii="Times New Roman" w:eastAsia="仿宋" w:hAnsi="Times New Roman" w:cs="Times New Roman"/>
          <w:b/>
          <w:bCs/>
          <w:sz w:val="32"/>
          <w:szCs w:val="32"/>
        </w:rPr>
        <w:t>高等院校微专业教育体系建设研究</w:t>
      </w:r>
    </w:p>
    <w:p w14:paraId="02EA3635" w14:textId="77777777" w:rsidR="00AD6ECB" w:rsidRPr="00AD6ECB" w:rsidRDefault="00AD6ECB" w:rsidP="00E83F9B">
      <w:pPr>
        <w:adjustRightInd w:val="0"/>
        <w:snapToGrid w:val="0"/>
        <w:spacing w:line="360" w:lineRule="auto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AD6ECB">
        <w:rPr>
          <w:rFonts w:ascii="Times New Roman" w:eastAsia="仿宋" w:hAnsi="Times New Roman" w:cs="Times New Roman"/>
          <w:sz w:val="32"/>
          <w:szCs w:val="32"/>
        </w:rPr>
        <w:t>研究要求：</w:t>
      </w:r>
    </w:p>
    <w:p w14:paraId="00F383E7" w14:textId="77777777" w:rsidR="00AD6ECB" w:rsidRPr="00AD6ECB" w:rsidRDefault="00AD6ECB" w:rsidP="00E83F9B">
      <w:pPr>
        <w:adjustRightInd w:val="0"/>
        <w:snapToGrid w:val="0"/>
        <w:spacing w:line="360" w:lineRule="auto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AD6ECB">
        <w:rPr>
          <w:rFonts w:ascii="Times New Roman" w:eastAsia="仿宋" w:hAnsi="Times New Roman" w:cs="Times New Roman"/>
          <w:sz w:val="32"/>
          <w:szCs w:val="32"/>
        </w:rPr>
        <w:t>（</w:t>
      </w:r>
      <w:r w:rsidRPr="00AD6ECB">
        <w:rPr>
          <w:rFonts w:ascii="Times New Roman" w:eastAsia="仿宋" w:hAnsi="Times New Roman" w:cs="Times New Roman"/>
          <w:sz w:val="32"/>
          <w:szCs w:val="32"/>
        </w:rPr>
        <w:t>1</w:t>
      </w:r>
      <w:r w:rsidRPr="00AD6ECB">
        <w:rPr>
          <w:rFonts w:ascii="Times New Roman" w:eastAsia="仿宋" w:hAnsi="Times New Roman" w:cs="Times New Roman"/>
          <w:sz w:val="32"/>
          <w:szCs w:val="32"/>
        </w:rPr>
        <w:t>）研究国内外高校微专业建设的现状与问题；</w:t>
      </w:r>
    </w:p>
    <w:p w14:paraId="46662EEA" w14:textId="77777777" w:rsidR="00AD6ECB" w:rsidRPr="00AD6ECB" w:rsidRDefault="00AD6ECB" w:rsidP="00E83F9B">
      <w:pPr>
        <w:adjustRightInd w:val="0"/>
        <w:snapToGrid w:val="0"/>
        <w:spacing w:line="360" w:lineRule="auto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AD6ECB">
        <w:rPr>
          <w:rFonts w:ascii="Times New Roman" w:eastAsia="仿宋" w:hAnsi="Times New Roman" w:cs="Times New Roman"/>
          <w:sz w:val="32"/>
          <w:szCs w:val="32"/>
        </w:rPr>
        <w:t>（</w:t>
      </w:r>
      <w:r w:rsidRPr="00AD6ECB">
        <w:rPr>
          <w:rFonts w:ascii="Times New Roman" w:eastAsia="仿宋" w:hAnsi="Times New Roman" w:cs="Times New Roman"/>
          <w:sz w:val="32"/>
          <w:szCs w:val="32"/>
        </w:rPr>
        <w:t>2</w:t>
      </w:r>
      <w:r w:rsidRPr="00AD6ECB">
        <w:rPr>
          <w:rFonts w:ascii="Times New Roman" w:eastAsia="仿宋" w:hAnsi="Times New Roman" w:cs="Times New Roman"/>
          <w:sz w:val="32"/>
          <w:szCs w:val="32"/>
        </w:rPr>
        <w:t>）研究微专业管理体系的实施策略、课程建设标准、认证标准等关键要素；</w:t>
      </w:r>
    </w:p>
    <w:p w14:paraId="212C7ED9" w14:textId="77777777" w:rsidR="00AD6ECB" w:rsidRPr="00AD6ECB" w:rsidRDefault="00AD6ECB" w:rsidP="00E83F9B">
      <w:pPr>
        <w:adjustRightInd w:val="0"/>
        <w:snapToGrid w:val="0"/>
        <w:spacing w:line="360" w:lineRule="auto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AD6ECB">
        <w:rPr>
          <w:rFonts w:ascii="Times New Roman" w:eastAsia="仿宋" w:hAnsi="Times New Roman" w:cs="Times New Roman"/>
          <w:sz w:val="32"/>
          <w:szCs w:val="32"/>
        </w:rPr>
        <w:t>（</w:t>
      </w:r>
      <w:r w:rsidRPr="00AD6ECB">
        <w:rPr>
          <w:rFonts w:ascii="Times New Roman" w:eastAsia="仿宋" w:hAnsi="Times New Roman" w:cs="Times New Roman"/>
          <w:sz w:val="32"/>
          <w:szCs w:val="32"/>
        </w:rPr>
        <w:t>3</w:t>
      </w:r>
      <w:r w:rsidRPr="00AD6ECB">
        <w:rPr>
          <w:rFonts w:ascii="Times New Roman" w:eastAsia="仿宋" w:hAnsi="Times New Roman" w:cs="Times New Roman"/>
          <w:sz w:val="32"/>
          <w:szCs w:val="32"/>
        </w:rPr>
        <w:t>）研究微专业管理的评估办法与质量保障机制；</w:t>
      </w:r>
    </w:p>
    <w:p w14:paraId="56DB254E" w14:textId="5922A54E" w:rsidR="00AD6ECB" w:rsidRDefault="00AD6ECB" w:rsidP="00E83F9B">
      <w:pPr>
        <w:adjustRightInd w:val="0"/>
        <w:snapToGrid w:val="0"/>
        <w:spacing w:line="360" w:lineRule="auto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AD6ECB">
        <w:rPr>
          <w:rFonts w:ascii="Times New Roman" w:eastAsia="仿宋" w:hAnsi="Times New Roman" w:cs="Times New Roman"/>
          <w:sz w:val="32"/>
          <w:szCs w:val="32"/>
        </w:rPr>
        <w:t>（</w:t>
      </w:r>
      <w:r w:rsidRPr="00AD6ECB">
        <w:rPr>
          <w:rFonts w:ascii="Times New Roman" w:eastAsia="仿宋" w:hAnsi="Times New Roman" w:cs="Times New Roman"/>
          <w:sz w:val="32"/>
          <w:szCs w:val="32"/>
        </w:rPr>
        <w:t>4</w:t>
      </w:r>
      <w:r w:rsidRPr="00AD6ECB">
        <w:rPr>
          <w:rFonts w:ascii="Times New Roman" w:eastAsia="仿宋" w:hAnsi="Times New Roman" w:cs="Times New Roman"/>
          <w:sz w:val="32"/>
          <w:szCs w:val="32"/>
        </w:rPr>
        <w:t>）构建高等院校微专业管理体系。</w:t>
      </w:r>
    </w:p>
    <w:p w14:paraId="5440AE9A" w14:textId="02A2A828" w:rsidR="00AD6ECB" w:rsidRDefault="00AD6ECB" w:rsidP="00E83F9B">
      <w:pPr>
        <w:adjustRightInd w:val="0"/>
        <w:snapToGrid w:val="0"/>
        <w:spacing w:line="360" w:lineRule="auto"/>
        <w:ind w:firstLineChars="200" w:firstLine="603"/>
        <w:rPr>
          <w:rFonts w:ascii="Times New Roman" w:eastAsia="仿宋" w:hAnsi="Times New Roman" w:cs="Times New Roman"/>
          <w:b/>
          <w:bCs/>
          <w:spacing w:val="-10"/>
          <w:sz w:val="32"/>
          <w:szCs w:val="32"/>
        </w:rPr>
      </w:pPr>
      <w:r w:rsidRPr="00AD6ECB">
        <w:rPr>
          <w:rFonts w:ascii="Times New Roman" w:eastAsia="仿宋" w:hAnsi="Times New Roman" w:cs="Times New Roman" w:hint="eastAsia"/>
          <w:b/>
          <w:bCs/>
          <w:spacing w:val="-10"/>
          <w:sz w:val="32"/>
          <w:szCs w:val="32"/>
        </w:rPr>
        <w:t>14.</w:t>
      </w:r>
      <w:r w:rsidRPr="00AD6ECB">
        <w:rPr>
          <w:rFonts w:ascii="Times New Roman" w:eastAsia="仿宋" w:hAnsi="Times New Roman" w:cs="Times New Roman" w:hint="eastAsia"/>
          <w:b/>
          <w:bCs/>
          <w:spacing w:val="-10"/>
          <w:sz w:val="32"/>
          <w:szCs w:val="32"/>
        </w:rPr>
        <w:t>高等教育学历文凭制度的国际比较和互认研究</w:t>
      </w:r>
    </w:p>
    <w:p w14:paraId="0916AE48" w14:textId="77777777" w:rsidR="00AD6ECB" w:rsidRDefault="00AD6ECB" w:rsidP="00E83F9B">
      <w:pPr>
        <w:adjustRightInd w:val="0"/>
        <w:snapToGrid w:val="0"/>
        <w:spacing w:line="360" w:lineRule="auto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AD6ECB">
        <w:rPr>
          <w:rFonts w:ascii="Times New Roman" w:eastAsia="仿宋" w:hAnsi="Times New Roman" w:cs="Times New Roman" w:hint="eastAsia"/>
          <w:sz w:val="32"/>
          <w:szCs w:val="32"/>
        </w:rPr>
        <w:t>研究要求：</w:t>
      </w:r>
    </w:p>
    <w:p w14:paraId="59AD78CC" w14:textId="575EF501" w:rsidR="00AD6ECB" w:rsidRPr="00AD6ECB" w:rsidRDefault="00AD6ECB" w:rsidP="00E83F9B">
      <w:pPr>
        <w:adjustRightInd w:val="0"/>
        <w:snapToGrid w:val="0"/>
        <w:spacing w:line="360" w:lineRule="auto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AD6ECB"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Pr="00AD6ECB">
        <w:rPr>
          <w:rFonts w:ascii="Times New Roman" w:eastAsia="仿宋" w:hAnsi="Times New Roman" w:cs="Times New Roman" w:hint="eastAsia"/>
          <w:sz w:val="32"/>
          <w:szCs w:val="32"/>
        </w:rPr>
        <w:t>1</w:t>
      </w:r>
      <w:r w:rsidRPr="00AD6ECB"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="007A2153" w:rsidRPr="00AD6ECB">
        <w:rPr>
          <w:rFonts w:ascii="Times New Roman" w:eastAsia="仿宋" w:hAnsi="Times New Roman" w:cs="Times New Roman" w:hint="eastAsia"/>
          <w:sz w:val="32"/>
          <w:szCs w:val="32"/>
        </w:rPr>
        <w:t>比较研究</w:t>
      </w:r>
      <w:r w:rsidRPr="00AD6ECB">
        <w:rPr>
          <w:rFonts w:ascii="Times New Roman" w:eastAsia="仿宋" w:hAnsi="Times New Roman" w:cs="Times New Roman" w:hint="eastAsia"/>
          <w:sz w:val="32"/>
          <w:szCs w:val="32"/>
        </w:rPr>
        <w:t>中外高等教育学历文凭制度，</w:t>
      </w:r>
      <w:r w:rsidR="00414680">
        <w:rPr>
          <w:rFonts w:ascii="Times New Roman" w:eastAsia="仿宋" w:hAnsi="Times New Roman" w:cs="Times New Roman" w:hint="eastAsia"/>
          <w:sz w:val="32"/>
          <w:szCs w:val="32"/>
        </w:rPr>
        <w:t>重点</w:t>
      </w:r>
      <w:r w:rsidRPr="00AD6ECB">
        <w:rPr>
          <w:rFonts w:ascii="Times New Roman" w:eastAsia="仿宋" w:hAnsi="Times New Roman" w:cs="Times New Roman" w:hint="eastAsia"/>
          <w:sz w:val="32"/>
          <w:szCs w:val="32"/>
        </w:rPr>
        <w:t>聚焦学制结构、课程体系、质量保障等</w:t>
      </w:r>
      <w:r w:rsidR="007A2153">
        <w:rPr>
          <w:rFonts w:ascii="Times New Roman" w:eastAsia="仿宋" w:hAnsi="Times New Roman" w:cs="Times New Roman" w:hint="eastAsia"/>
          <w:sz w:val="32"/>
          <w:szCs w:val="32"/>
        </w:rPr>
        <w:t>维度</w:t>
      </w:r>
      <w:r>
        <w:rPr>
          <w:rFonts w:ascii="Times New Roman" w:eastAsia="仿宋" w:hAnsi="Times New Roman" w:cs="Times New Roman" w:hint="eastAsia"/>
          <w:sz w:val="32"/>
          <w:szCs w:val="32"/>
        </w:rPr>
        <w:t>；</w:t>
      </w:r>
    </w:p>
    <w:p w14:paraId="734A5D68" w14:textId="1546A4A8" w:rsidR="00AD6ECB" w:rsidRPr="00AD6ECB" w:rsidRDefault="00AD6ECB" w:rsidP="00E83F9B">
      <w:pPr>
        <w:adjustRightInd w:val="0"/>
        <w:snapToGrid w:val="0"/>
        <w:spacing w:line="360" w:lineRule="auto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AD6ECB"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Pr="00AD6ECB">
        <w:rPr>
          <w:rFonts w:ascii="Times New Roman" w:eastAsia="仿宋" w:hAnsi="Times New Roman" w:cs="Times New Roman" w:hint="eastAsia"/>
          <w:sz w:val="32"/>
          <w:szCs w:val="32"/>
        </w:rPr>
        <w:t>2</w:t>
      </w:r>
      <w:r w:rsidRPr="00AD6ECB"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="007A2153" w:rsidRPr="00AD6ECB">
        <w:rPr>
          <w:rFonts w:ascii="Times New Roman" w:eastAsia="仿宋" w:hAnsi="Times New Roman" w:cs="Times New Roman" w:hint="eastAsia"/>
          <w:sz w:val="32"/>
          <w:szCs w:val="32"/>
        </w:rPr>
        <w:t>研究</w:t>
      </w:r>
      <w:r w:rsidRPr="00AD6ECB">
        <w:rPr>
          <w:rFonts w:ascii="Times New Roman" w:eastAsia="仿宋" w:hAnsi="Times New Roman" w:cs="Times New Roman" w:hint="eastAsia"/>
          <w:sz w:val="32"/>
          <w:szCs w:val="32"/>
        </w:rPr>
        <w:t>国际学历文凭互认典型经验和案例</w:t>
      </w:r>
      <w:r>
        <w:rPr>
          <w:rFonts w:ascii="Times New Roman" w:eastAsia="仿宋" w:hAnsi="Times New Roman" w:cs="Times New Roman" w:hint="eastAsia"/>
          <w:sz w:val="32"/>
          <w:szCs w:val="32"/>
        </w:rPr>
        <w:t>；</w:t>
      </w:r>
    </w:p>
    <w:p w14:paraId="368BBB02" w14:textId="52F547D1" w:rsidR="00AD6ECB" w:rsidRPr="00AD6ECB" w:rsidRDefault="00AD6ECB" w:rsidP="00E83F9B">
      <w:pPr>
        <w:adjustRightInd w:val="0"/>
        <w:snapToGrid w:val="0"/>
        <w:spacing w:line="360" w:lineRule="auto"/>
        <w:ind w:firstLineChars="200" w:firstLine="640"/>
        <w:rPr>
          <w:rFonts w:ascii="Times New Roman" w:eastAsia="仿宋" w:hAnsi="Times New Roman" w:cs="Times New Roman" w:hint="eastAsia"/>
          <w:sz w:val="32"/>
          <w:szCs w:val="32"/>
        </w:rPr>
      </w:pPr>
      <w:r w:rsidRPr="00AD6ECB"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Pr="00AD6ECB">
        <w:rPr>
          <w:rFonts w:ascii="Times New Roman" w:eastAsia="仿宋" w:hAnsi="Times New Roman" w:cs="Times New Roman" w:hint="eastAsia"/>
          <w:sz w:val="32"/>
          <w:szCs w:val="32"/>
        </w:rPr>
        <w:t>3</w:t>
      </w:r>
      <w:r w:rsidRPr="00AD6ECB"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="007A2153" w:rsidRPr="00AD6ECB">
        <w:rPr>
          <w:rFonts w:ascii="Times New Roman" w:eastAsia="仿宋" w:hAnsi="Times New Roman" w:cs="Times New Roman" w:hint="eastAsia"/>
          <w:sz w:val="32"/>
          <w:szCs w:val="32"/>
        </w:rPr>
        <w:t>研究</w:t>
      </w:r>
      <w:r w:rsidRPr="00AD6ECB">
        <w:rPr>
          <w:rFonts w:ascii="Times New Roman" w:eastAsia="仿宋" w:hAnsi="Times New Roman" w:cs="Times New Roman" w:hint="eastAsia"/>
          <w:sz w:val="32"/>
          <w:szCs w:val="32"/>
        </w:rPr>
        <w:t>中外学历文凭互认体制机制影响因素与</w:t>
      </w:r>
      <w:r w:rsidR="007A2153">
        <w:rPr>
          <w:rFonts w:ascii="Times New Roman" w:eastAsia="仿宋" w:hAnsi="Times New Roman" w:cs="Times New Roman" w:hint="eastAsia"/>
          <w:sz w:val="32"/>
          <w:szCs w:val="32"/>
        </w:rPr>
        <w:t>策略</w:t>
      </w:r>
      <w:r w:rsidRPr="00AD6ECB">
        <w:rPr>
          <w:rFonts w:ascii="Times New Roman" w:eastAsia="仿宋" w:hAnsi="Times New Roman" w:cs="Times New Roman" w:hint="eastAsia"/>
          <w:sz w:val="32"/>
          <w:szCs w:val="32"/>
        </w:rPr>
        <w:t>。</w:t>
      </w:r>
    </w:p>
    <w:p w14:paraId="1263FC13" w14:textId="08DF5719" w:rsidR="00E83F9B" w:rsidRPr="00E83F9B" w:rsidRDefault="00AD6ECB" w:rsidP="00E83F9B">
      <w:pPr>
        <w:adjustRightInd w:val="0"/>
        <w:snapToGrid w:val="0"/>
        <w:spacing w:line="360" w:lineRule="auto"/>
        <w:ind w:firstLineChars="200" w:firstLine="603"/>
        <w:rPr>
          <w:rFonts w:ascii="Times New Roman" w:eastAsia="仿宋" w:hAnsi="Times New Roman" w:cs="Times New Roman" w:hint="eastAsia"/>
          <w:b/>
          <w:bCs/>
          <w:spacing w:val="-10"/>
          <w:sz w:val="32"/>
          <w:szCs w:val="32"/>
        </w:rPr>
      </w:pPr>
      <w:r w:rsidRPr="00AD6ECB">
        <w:rPr>
          <w:rFonts w:ascii="Times New Roman" w:eastAsia="仿宋" w:hAnsi="Times New Roman" w:cs="Times New Roman" w:hint="eastAsia"/>
          <w:b/>
          <w:bCs/>
          <w:spacing w:val="-10"/>
          <w:sz w:val="32"/>
          <w:szCs w:val="32"/>
        </w:rPr>
        <w:t>16.</w:t>
      </w:r>
      <w:r w:rsidRPr="00AD6ECB">
        <w:rPr>
          <w:rFonts w:ascii="Times New Roman" w:eastAsia="仿宋" w:hAnsi="Times New Roman" w:cs="Times New Roman" w:hint="eastAsia"/>
          <w:b/>
          <w:bCs/>
          <w:spacing w:val="-10"/>
          <w:sz w:val="32"/>
          <w:szCs w:val="32"/>
        </w:rPr>
        <w:t>基于人才供需适配的高等教育分类评价指标体系研究</w:t>
      </w:r>
    </w:p>
    <w:p w14:paraId="49F9A297" w14:textId="77777777" w:rsidR="00E83F9B" w:rsidRPr="00E83F9B" w:rsidRDefault="00E83F9B" w:rsidP="00E83F9B">
      <w:pPr>
        <w:adjustRightInd w:val="0"/>
        <w:snapToGrid w:val="0"/>
        <w:spacing w:line="360" w:lineRule="auto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E83F9B">
        <w:rPr>
          <w:rFonts w:ascii="Times New Roman" w:eastAsia="仿宋" w:hAnsi="Times New Roman" w:cs="Times New Roman" w:hint="eastAsia"/>
          <w:sz w:val="32"/>
          <w:szCs w:val="32"/>
        </w:rPr>
        <w:t>研究要求：</w:t>
      </w:r>
    </w:p>
    <w:p w14:paraId="2D19DDB3" w14:textId="77777777" w:rsidR="00E83F9B" w:rsidRDefault="00E83F9B" w:rsidP="00E83F9B">
      <w:pPr>
        <w:adjustRightInd w:val="0"/>
        <w:snapToGrid w:val="0"/>
        <w:spacing w:line="360" w:lineRule="auto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E83F9B"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Pr="00E83F9B">
        <w:rPr>
          <w:rFonts w:ascii="Times New Roman" w:eastAsia="仿宋" w:hAnsi="Times New Roman" w:cs="Times New Roman" w:hint="eastAsia"/>
          <w:sz w:val="32"/>
          <w:szCs w:val="32"/>
        </w:rPr>
        <w:t>1</w:t>
      </w:r>
      <w:r w:rsidRPr="00E83F9B">
        <w:rPr>
          <w:rFonts w:ascii="Times New Roman" w:eastAsia="仿宋" w:hAnsi="Times New Roman" w:cs="Times New Roman" w:hint="eastAsia"/>
          <w:sz w:val="32"/>
          <w:szCs w:val="32"/>
        </w:rPr>
        <w:t>）探究引导高校精准定位，构建分类考核指标体系；</w:t>
      </w:r>
    </w:p>
    <w:p w14:paraId="3CD142C6" w14:textId="4B34616B" w:rsidR="00E83F9B" w:rsidRDefault="00E83F9B" w:rsidP="00E83F9B">
      <w:pPr>
        <w:adjustRightInd w:val="0"/>
        <w:snapToGrid w:val="0"/>
        <w:spacing w:line="360" w:lineRule="auto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E83F9B"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Pr="00E83F9B">
        <w:rPr>
          <w:rFonts w:ascii="Times New Roman" w:eastAsia="仿宋" w:hAnsi="Times New Roman" w:cs="Times New Roman" w:hint="eastAsia"/>
          <w:sz w:val="32"/>
          <w:szCs w:val="32"/>
        </w:rPr>
        <w:t>2</w:t>
      </w:r>
      <w:r w:rsidRPr="00E83F9B">
        <w:rPr>
          <w:rFonts w:ascii="Times New Roman" w:eastAsia="仿宋" w:hAnsi="Times New Roman" w:cs="Times New Roman" w:hint="eastAsia"/>
          <w:sz w:val="32"/>
          <w:szCs w:val="32"/>
        </w:rPr>
        <w:t>）探讨分类考核指标体系，实现动态反馈缩短人才培养调整周期；</w:t>
      </w:r>
    </w:p>
    <w:p w14:paraId="45DA34CE" w14:textId="77777777" w:rsidR="00E83F9B" w:rsidRDefault="00E83F9B" w:rsidP="00E83F9B">
      <w:pPr>
        <w:adjustRightInd w:val="0"/>
        <w:snapToGrid w:val="0"/>
        <w:spacing w:line="360" w:lineRule="auto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E83F9B"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Pr="00E83F9B">
        <w:rPr>
          <w:rFonts w:ascii="Times New Roman" w:eastAsia="仿宋" w:hAnsi="Times New Roman" w:cs="Times New Roman" w:hint="eastAsia"/>
          <w:sz w:val="32"/>
          <w:szCs w:val="32"/>
        </w:rPr>
        <w:t>3</w:t>
      </w:r>
      <w:r w:rsidRPr="00E83F9B">
        <w:rPr>
          <w:rFonts w:ascii="Times New Roman" w:eastAsia="仿宋" w:hAnsi="Times New Roman" w:cs="Times New Roman" w:hint="eastAsia"/>
          <w:sz w:val="32"/>
          <w:szCs w:val="32"/>
        </w:rPr>
        <w:t>）探讨分类考核指标体系市场评价权重，构建用人</w:t>
      </w:r>
      <w:r w:rsidRPr="00E83F9B">
        <w:rPr>
          <w:rFonts w:ascii="Times New Roman" w:eastAsia="仿宋" w:hAnsi="Times New Roman" w:cs="Times New Roman" w:hint="eastAsia"/>
          <w:sz w:val="32"/>
          <w:szCs w:val="32"/>
        </w:rPr>
        <w:lastRenderedPageBreak/>
        <w:t>单位评价纳入第三方评估体系；</w:t>
      </w:r>
    </w:p>
    <w:p w14:paraId="60A357C4" w14:textId="55FD8EA2" w:rsidR="00AD6ECB" w:rsidRPr="00E83F9B" w:rsidRDefault="00E83F9B" w:rsidP="00E83F9B">
      <w:pPr>
        <w:adjustRightInd w:val="0"/>
        <w:snapToGrid w:val="0"/>
        <w:spacing w:line="360" w:lineRule="auto"/>
        <w:ind w:firstLineChars="200" w:firstLine="640"/>
        <w:rPr>
          <w:rFonts w:ascii="Times New Roman" w:eastAsia="仿宋" w:hAnsi="Times New Roman" w:cs="Times New Roman" w:hint="eastAsia"/>
          <w:sz w:val="32"/>
          <w:szCs w:val="32"/>
        </w:rPr>
      </w:pPr>
      <w:r w:rsidRPr="00E83F9B"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Pr="00E83F9B">
        <w:rPr>
          <w:rFonts w:ascii="Times New Roman" w:eastAsia="仿宋" w:hAnsi="Times New Roman" w:cs="Times New Roman" w:hint="eastAsia"/>
          <w:sz w:val="32"/>
          <w:szCs w:val="32"/>
        </w:rPr>
        <w:t>4</w:t>
      </w:r>
      <w:r w:rsidRPr="00E83F9B">
        <w:rPr>
          <w:rFonts w:ascii="Times New Roman" w:eastAsia="仿宋" w:hAnsi="Times New Roman" w:cs="Times New Roman" w:hint="eastAsia"/>
          <w:sz w:val="32"/>
          <w:szCs w:val="32"/>
        </w:rPr>
        <w:t>）探索区域差异化指标权重分配</w:t>
      </w:r>
      <w:r>
        <w:rPr>
          <w:rFonts w:ascii="Times New Roman" w:eastAsia="仿宋" w:hAnsi="Times New Roman" w:cs="Times New Roman" w:hint="eastAsia"/>
          <w:sz w:val="32"/>
          <w:szCs w:val="32"/>
        </w:rPr>
        <w:t>机制</w:t>
      </w:r>
      <w:r w:rsidRPr="00E83F9B">
        <w:rPr>
          <w:rFonts w:ascii="Times New Roman" w:eastAsia="仿宋" w:hAnsi="Times New Roman" w:cs="Times New Roman" w:hint="eastAsia"/>
          <w:sz w:val="32"/>
          <w:szCs w:val="32"/>
        </w:rPr>
        <w:t>。</w:t>
      </w:r>
    </w:p>
    <w:p w14:paraId="1BBEC0DA" w14:textId="7DCD6351" w:rsidR="00AD6ECB" w:rsidRDefault="00AD6ECB" w:rsidP="00E83F9B">
      <w:pPr>
        <w:adjustRightInd w:val="0"/>
        <w:snapToGrid w:val="0"/>
        <w:spacing w:line="360" w:lineRule="auto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" w:hAnsi="Times New Roman" w:cs="Times New Roman" w:hint="eastAsia"/>
          <w:b/>
          <w:bCs/>
          <w:sz w:val="32"/>
          <w:szCs w:val="32"/>
        </w:rPr>
        <w:t>19</w:t>
      </w:r>
      <w:r w:rsidRPr="00AD6ECB">
        <w:rPr>
          <w:rFonts w:ascii="Times New Roman" w:eastAsia="仿宋" w:hAnsi="Times New Roman" w:cs="Times New Roman"/>
          <w:b/>
          <w:bCs/>
          <w:sz w:val="32"/>
          <w:szCs w:val="32"/>
        </w:rPr>
        <w:t>.</w:t>
      </w:r>
      <w:r w:rsidRPr="00AD6ECB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 xml:space="preserve"> </w:t>
      </w:r>
      <w:r w:rsidRPr="00AD6ECB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教育强国背景下大学生就业能力结构及培养研究</w:t>
      </w:r>
    </w:p>
    <w:p w14:paraId="724E559E" w14:textId="50DD0011" w:rsidR="00E83F9B" w:rsidRPr="00E83F9B" w:rsidRDefault="00E83F9B" w:rsidP="00E83F9B">
      <w:pPr>
        <w:adjustRightInd w:val="0"/>
        <w:snapToGrid w:val="0"/>
        <w:spacing w:line="360" w:lineRule="auto"/>
        <w:ind w:firstLineChars="200" w:firstLine="640"/>
        <w:rPr>
          <w:rFonts w:ascii="Times New Roman" w:eastAsia="仿宋" w:hAnsi="Times New Roman" w:cs="Times New Roman" w:hint="eastAsia"/>
          <w:sz w:val="32"/>
          <w:szCs w:val="32"/>
        </w:rPr>
      </w:pPr>
      <w:r w:rsidRPr="00E83F9B">
        <w:rPr>
          <w:rFonts w:ascii="Times New Roman" w:eastAsia="仿宋" w:hAnsi="Times New Roman" w:cs="Times New Roman" w:hint="eastAsia"/>
          <w:sz w:val="32"/>
          <w:szCs w:val="32"/>
        </w:rPr>
        <w:t>研究要求：</w:t>
      </w:r>
    </w:p>
    <w:p w14:paraId="5396D06C" w14:textId="77777777" w:rsidR="00E83F9B" w:rsidRDefault="00AD6ECB" w:rsidP="00E83F9B">
      <w:pPr>
        <w:adjustRightInd w:val="0"/>
        <w:snapToGrid w:val="0"/>
        <w:spacing w:line="360" w:lineRule="auto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AD6ECB"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Pr="00AD6ECB">
        <w:rPr>
          <w:rFonts w:ascii="Times New Roman" w:eastAsia="仿宋" w:hAnsi="Times New Roman" w:cs="Times New Roman" w:hint="eastAsia"/>
          <w:sz w:val="32"/>
          <w:szCs w:val="32"/>
        </w:rPr>
        <w:t>1</w:t>
      </w:r>
      <w:r w:rsidRPr="00AD6ECB">
        <w:rPr>
          <w:rFonts w:ascii="Times New Roman" w:eastAsia="仿宋" w:hAnsi="Times New Roman" w:cs="Times New Roman" w:hint="eastAsia"/>
          <w:sz w:val="32"/>
          <w:szCs w:val="32"/>
        </w:rPr>
        <w:t>）深入分析教育强国建设背景下大学生就业面临的新形势、新要求；</w:t>
      </w:r>
    </w:p>
    <w:p w14:paraId="6F1EA639" w14:textId="77777777" w:rsidR="00E83F9B" w:rsidRDefault="00AD6ECB" w:rsidP="00E83F9B">
      <w:pPr>
        <w:adjustRightInd w:val="0"/>
        <w:snapToGrid w:val="0"/>
        <w:spacing w:line="360" w:lineRule="auto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AD6ECB"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Pr="00AD6ECB">
        <w:rPr>
          <w:rFonts w:ascii="Times New Roman" w:eastAsia="仿宋" w:hAnsi="Times New Roman" w:cs="Times New Roman" w:hint="eastAsia"/>
          <w:sz w:val="32"/>
          <w:szCs w:val="32"/>
        </w:rPr>
        <w:t>2</w:t>
      </w:r>
      <w:r w:rsidRPr="00AD6ECB">
        <w:rPr>
          <w:rFonts w:ascii="Times New Roman" w:eastAsia="仿宋" w:hAnsi="Times New Roman" w:cs="Times New Roman" w:hint="eastAsia"/>
          <w:sz w:val="32"/>
          <w:szCs w:val="32"/>
        </w:rPr>
        <w:t>）探索中国式现代化建设所需人才的能力结构及其影响因素；</w:t>
      </w:r>
    </w:p>
    <w:p w14:paraId="1E4E4707" w14:textId="5BC6A7C2" w:rsidR="00AD6ECB" w:rsidRPr="00AD6ECB" w:rsidRDefault="00AD6ECB" w:rsidP="00E83F9B">
      <w:pPr>
        <w:adjustRightInd w:val="0"/>
        <w:snapToGrid w:val="0"/>
        <w:spacing w:line="360" w:lineRule="auto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AD6ECB"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Pr="00AD6ECB">
        <w:rPr>
          <w:rFonts w:ascii="Times New Roman" w:eastAsia="仿宋" w:hAnsi="Times New Roman" w:cs="Times New Roman" w:hint="eastAsia"/>
          <w:sz w:val="32"/>
          <w:szCs w:val="32"/>
        </w:rPr>
        <w:t>3</w:t>
      </w:r>
      <w:r w:rsidRPr="00AD6ECB">
        <w:rPr>
          <w:rFonts w:ascii="Times New Roman" w:eastAsia="仿宋" w:hAnsi="Times New Roman" w:cs="Times New Roman" w:hint="eastAsia"/>
          <w:sz w:val="32"/>
          <w:szCs w:val="32"/>
        </w:rPr>
        <w:t>）分析高校人才培养的条件与路径，探索构建大学生就业能力校企联合培养的协同体系。</w:t>
      </w:r>
    </w:p>
    <w:sectPr w:rsidR="00AD6ECB" w:rsidRPr="00AD6E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A8E0D" w14:textId="77777777" w:rsidR="008572A1" w:rsidRDefault="008572A1" w:rsidP="004D2770">
      <w:r>
        <w:separator/>
      </w:r>
    </w:p>
  </w:endnote>
  <w:endnote w:type="continuationSeparator" w:id="0">
    <w:p w14:paraId="214D459B" w14:textId="77777777" w:rsidR="008572A1" w:rsidRDefault="008572A1" w:rsidP="004D2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C4993" w14:textId="77777777" w:rsidR="008572A1" w:rsidRDefault="008572A1" w:rsidP="004D2770">
      <w:r>
        <w:separator/>
      </w:r>
    </w:p>
  </w:footnote>
  <w:footnote w:type="continuationSeparator" w:id="0">
    <w:p w14:paraId="6ADAF991" w14:textId="77777777" w:rsidR="008572A1" w:rsidRDefault="008572A1" w:rsidP="004D27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82C41B9"/>
    <w:rsid w:val="00003591"/>
    <w:rsid w:val="001C590E"/>
    <w:rsid w:val="00337612"/>
    <w:rsid w:val="0034626E"/>
    <w:rsid w:val="00414680"/>
    <w:rsid w:val="004D2770"/>
    <w:rsid w:val="00563184"/>
    <w:rsid w:val="00671813"/>
    <w:rsid w:val="006B746B"/>
    <w:rsid w:val="006E3B2E"/>
    <w:rsid w:val="0078033C"/>
    <w:rsid w:val="007A2153"/>
    <w:rsid w:val="008572A1"/>
    <w:rsid w:val="008C6D11"/>
    <w:rsid w:val="00AD6ECB"/>
    <w:rsid w:val="00B21C44"/>
    <w:rsid w:val="00D6260F"/>
    <w:rsid w:val="00D97B68"/>
    <w:rsid w:val="00DC28AF"/>
    <w:rsid w:val="00E83F9B"/>
    <w:rsid w:val="00ED2DDD"/>
    <w:rsid w:val="00ED59C4"/>
    <w:rsid w:val="022C43C1"/>
    <w:rsid w:val="02502671"/>
    <w:rsid w:val="02FD362F"/>
    <w:rsid w:val="03DD23FB"/>
    <w:rsid w:val="0C144DE8"/>
    <w:rsid w:val="0C234952"/>
    <w:rsid w:val="11E701D0"/>
    <w:rsid w:val="132C0590"/>
    <w:rsid w:val="13A17A12"/>
    <w:rsid w:val="1650236F"/>
    <w:rsid w:val="16527529"/>
    <w:rsid w:val="16BF3B55"/>
    <w:rsid w:val="1A2978B1"/>
    <w:rsid w:val="1A99139B"/>
    <w:rsid w:val="1F985375"/>
    <w:rsid w:val="2A931B32"/>
    <w:rsid w:val="2EBE6729"/>
    <w:rsid w:val="2FC6103D"/>
    <w:rsid w:val="346F0125"/>
    <w:rsid w:val="34C97BB3"/>
    <w:rsid w:val="379C5435"/>
    <w:rsid w:val="3B70021C"/>
    <w:rsid w:val="3C091F84"/>
    <w:rsid w:val="3C7C285E"/>
    <w:rsid w:val="3FB3410E"/>
    <w:rsid w:val="40531A99"/>
    <w:rsid w:val="440B77C2"/>
    <w:rsid w:val="44786854"/>
    <w:rsid w:val="46271C5A"/>
    <w:rsid w:val="49733822"/>
    <w:rsid w:val="4F445859"/>
    <w:rsid w:val="4F462F9B"/>
    <w:rsid w:val="4FBC268F"/>
    <w:rsid w:val="515406D7"/>
    <w:rsid w:val="51F60786"/>
    <w:rsid w:val="53AD7BDA"/>
    <w:rsid w:val="54CA3A37"/>
    <w:rsid w:val="5523289A"/>
    <w:rsid w:val="55E05BBB"/>
    <w:rsid w:val="582C41B9"/>
    <w:rsid w:val="58D5317F"/>
    <w:rsid w:val="5A616CEB"/>
    <w:rsid w:val="5A7140A7"/>
    <w:rsid w:val="5BBC1954"/>
    <w:rsid w:val="5CD3226F"/>
    <w:rsid w:val="5FD84606"/>
    <w:rsid w:val="60E47E85"/>
    <w:rsid w:val="611B22BB"/>
    <w:rsid w:val="61781707"/>
    <w:rsid w:val="6AFB1E97"/>
    <w:rsid w:val="6E2455B9"/>
    <w:rsid w:val="71B001D4"/>
    <w:rsid w:val="734076F2"/>
    <w:rsid w:val="763D473F"/>
    <w:rsid w:val="7B6C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397DDD"/>
  <w15:docId w15:val="{3B944193-6C9B-40B0-B9F3-66CAEE98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header"/>
    <w:basedOn w:val="a"/>
    <w:link w:val="a5"/>
    <w:rsid w:val="004D277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D277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4D27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D277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274</Words>
  <Characters>277</Characters>
  <Application>Microsoft Office Word</Application>
  <DocSecurity>0</DocSecurity>
  <Lines>13</Lines>
  <Paragraphs>6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ceshi1</cp:lastModifiedBy>
  <cp:revision>28</cp:revision>
  <cp:lastPrinted>2025-05-13T08:11:00Z</cp:lastPrinted>
  <dcterms:created xsi:type="dcterms:W3CDTF">2025-05-09T09:58:00Z</dcterms:created>
  <dcterms:modified xsi:type="dcterms:W3CDTF">2025-05-27T07:53:00Z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F19033D66EE94B488F57E4F244BE5D61_13</vt:lpwstr>
  </property>
  <property fmtid="{D5CDD505-2E9C-101B-9397-08002B2CF9AE}" pid="4" name="KSOTemplateDocerSaveRecord">
    <vt:lpwstr>eyJoZGlkIjoiODZhNThkNDdkNTM3YzBjMDE0ZTExZWUyYjgyNWQ4Y2QiLCJ1c2VySWQiOiI1MjYwMzM0NTAifQ==</vt:lpwstr>
  </property>
</Properties>
</file>